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png" ContentType="image/png"/>
  <Override PartName="/word/media/rId45.png" ContentType="image/png"/>
  <Override PartName="/word/media/rId41.png" ContentType="image/png"/>
  <Override PartName="/word/media/rId52.png" ContentType="image/png"/>
  <Override PartName="/word/media/rId42.png" ContentType="image/png"/>
  <Override PartName="/word/media/rId47.png" ContentType="image/png"/>
  <Override PartName="/word/media/rId48.png" ContentType="image/png"/>
  <Override PartName="/word/media/rId40.png" ContentType="image/png"/>
  <Override PartName="/word/media/rId36.png" ContentType="image/png"/>
  <Override PartName="/word/media/rId37.png" ContentType="image/png"/>
  <Override PartName="/word/media/rId5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November</w:t>
      </w:r>
      <w:r>
        <w:t xml:space="preserve"> </w:t>
      </w:r>
      <w:r>
        <w:t xml:space="preserve">19,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largely consumed source of protein worldwide and the total amount</w:t>
      </w:r>
      <w:r>
        <w:t xml:space="preserve"> </w:t>
      </w:r>
      <w:r>
        <w:t xml:space="preserve">of meat consumption is growing due to income and population growth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In response to the increasing demand in meat,</w:t>
      </w:r>
      <w:r>
        <w:t xml:space="preserve"> </w:t>
      </w:r>
      <w:r>
        <w:t xml:space="preserve">research in enhancing antimicrobial meat packaging has been actively performed</w:t>
      </w:r>
      <w:r>
        <w:t xml:space="preserve"> </w:t>
      </w:r>
      <w:r>
        <w:t xml:space="preserve">to deliver longer shelf life</w:t>
      </w:r>
      <w:r>
        <w:t xml:space="preserve"> </w:t>
      </w:r>
      <w:r>
        <w:t xml:space="preserve">(McMillin, 2017)</w:t>
      </w:r>
      <w:r>
        <w:t xml:space="preserve"> </w:t>
      </w:r>
      <w:r>
        <w:t xml:space="preserve">because meat is</w:t>
      </w:r>
      <w:r>
        <w:t xml:space="preserve"> </w:t>
      </w:r>
      <w:r>
        <w:t xml:space="preserve">very prone to get perished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</w:t>
      </w:r>
    </w:p>
    <w:p>
      <w:pPr>
        <w:pStyle w:val="BodyText"/>
      </w:pPr>
      <w:r>
        <w:t xml:space="preserve">My primary question was to investigate microbial communities developed in</w:t>
      </w:r>
      <w:r>
        <w:t xml:space="preserve"> </w:t>
      </w:r>
      <w:r>
        <w:t xml:space="preserve">ground beef under different storage conditions. I proposed a hypothesis</w:t>
      </w:r>
      <w:r>
        <w:t xml:space="preserve"> </w:t>
      </w:r>
      <w:r>
        <w:t xml:space="preserve">that more diverse microbial communities would be developed if the meat was</w:t>
      </w:r>
      <w:r>
        <w:t xml:space="preserve"> </w:t>
      </w:r>
      <w:r>
        <w:t xml:space="preserve">stored at room temperature in comparison to the ones kept in a refrigerator</w:t>
      </w:r>
      <w:r>
        <w:t xml:space="preserve"> </w:t>
      </w:r>
      <w:r>
        <w:t xml:space="preserve">as low temperature storage is an essential method to prevent or slow</w:t>
      </w:r>
      <w:r>
        <w:t xml:space="preserve"> </w:t>
      </w:r>
      <w:r>
        <w:t xml:space="preserve">microbial growth</w:t>
      </w:r>
      <w:r>
        <w:t xml:space="preserve"> </w:t>
      </w:r>
      <w:r>
        <w:t xml:space="preserve">(Dave and Ghaly, 2011)</w:t>
      </w:r>
      <w:r>
        <w:t xml:space="preserve">. I designed my study to compare 3 different</w:t>
      </w:r>
      <w:r>
        <w:t xml:space="preserve"> </w:t>
      </w:r>
      <w:r>
        <w:t xml:space="preserve">ground beef brands in either cooled environment or room temperature.</w:t>
      </w:r>
      <w:r>
        <w:t xml:space="preserve"> </w:t>
      </w: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DNA extraction process and thus led to skewed</w:t>
      </w:r>
      <w:r>
        <w:t xml:space="preserve"> </w:t>
      </w:r>
      <w:r>
        <w:t xml:space="preserve">results only from the refrigerated samples when performed Sanger sequencing</w:t>
      </w:r>
      <w:r>
        <w:t xml:space="preserve"> </w:t>
      </w:r>
      <w:r>
        <w:t xml:space="preserve">with culture-based samples. With the culture-based samples, I collected the</w:t>
      </w:r>
      <w:r>
        <w:t xml:space="preserve"> </w:t>
      </w:r>
      <w:r>
        <w:t xml:space="preserve">data by Sanger sequencing and identified each sample by putting the sequences</w:t>
      </w:r>
      <w:r>
        <w:t xml:space="preserve"> </w:t>
      </w:r>
      <w:r>
        <w:t xml:space="preserve">in BLAST. I also prepared culture-free samples to run for Illumina sequencing.</w:t>
      </w:r>
      <w:r>
        <w:t xml:space="preserve"> </w:t>
      </w:r>
      <w:r>
        <w:t xml:space="preserve">Out of 3 replicas, 2 samples from room temperature storage condition</w:t>
      </w:r>
      <w:r>
        <w:t xml:space="preserve"> </w:t>
      </w:r>
      <w:r>
        <w:t xml:space="preserve">exhibited more abundant microbes than the refrigerated treatment group.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(total volume of 200µL each). For culturing process,</w:t>
      </w:r>
      <w:r>
        <w:t xml:space="preserve"> </w:t>
      </w:r>
      <w:r>
        <w:t xml:space="preserve">I transferred 100µL of each diluted sample to 100mm TSA plate and spread</w:t>
      </w:r>
      <w:r>
        <w:t xml:space="preserve"> </w:t>
      </w:r>
      <w:r>
        <w:t xml:space="preserve">the solution with the beads for 10 seconds. The petri dishes were stored</w:t>
      </w:r>
      <w:r>
        <w:t xml:space="preserve"> </w:t>
      </w:r>
      <w:r>
        <w:t xml:space="preserve">in incubator for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27f primer, 1492r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5 minutes, another denaturing at 94⁰C for 30 seconds, annealing</w:t>
      </w:r>
      <w:r>
        <w:t xml:space="preserve"> </w:t>
      </w:r>
      <w:r>
        <w:t xml:space="preserve">at 65⁰C for 30 seconds, and extending at 72⁰C for 1 minute. The temperature</w:t>
      </w:r>
      <w:r>
        <w:t xml:space="preserve"> </w:t>
      </w:r>
      <w:r>
        <w:t xml:space="preserve">for annealing stepped down 1⁰C per cycle and the second denaturing,</w:t>
      </w:r>
      <w:r>
        <w:t xml:space="preserve"> </w:t>
      </w:r>
      <w:r>
        <w:t xml:space="preserve">annealing,and extending steps were repeated for 10 cycles. Subsequently,</w:t>
      </w:r>
      <w:r>
        <w:t xml:space="preserve"> </w:t>
      </w:r>
      <w:r>
        <w:t xml:space="preserve">additional 25 cycles were started at 94⁰C for 30 seconds, 55⁰C for</w:t>
      </w:r>
      <w:r>
        <w:t xml:space="preserve"> </w:t>
      </w:r>
      <w:r>
        <w:t xml:space="preserve">30 seconds, and 72⁰C for 1 minute. The cycle stayed at 72⁰C for 10 minutes</w:t>
      </w:r>
      <w:r>
        <w:t xml:space="preserve"> </w:t>
      </w:r>
      <w:r>
        <w:t xml:space="preserve">and went down to 4⁰C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6 PCR products and a negative control for 4µL each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18,107 for random seed. Lastly, I loaded the</w:t>
      </w:r>
      <w:r>
        <w:t xml:space="preserve"> </w:t>
      </w:r>
      <w:r>
        <w:t xml:space="preserve">3 cleaned sequences and 1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16SF primer, 16SR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3 minutes. Subsequently, additional 25 cycles were started at</w:t>
      </w:r>
      <w:r>
        <w:t xml:space="preserve"> </w:t>
      </w:r>
      <w:r>
        <w:t xml:space="preserve">95⁰C for 30 seconds, 55⁰C for 30 seconds, and 72⁰C for 30 seconds.</w:t>
      </w:r>
      <w:r>
        <w:t xml:space="preserve"> </w:t>
      </w:r>
      <w:r>
        <w:t xml:space="preserve">The cycle stayed at 72⁰C for 5 minutes and went down to 4⁰C for hold.</w:t>
      </w:r>
      <w:r>
        <w:t xml:space="preserve"> </w:t>
      </w:r>
      <w:r>
        <w:t xml:space="preserve">6 PCR products and a negative control were loaded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and quantitated using a PicoGreen fluorescent assay on a Tecan Infinite</w:t>
      </w:r>
      <w:r>
        <w:t xml:space="preserve"> </w:t>
      </w:r>
      <w:r>
        <w:t xml:space="preserve">M Plex plate reader. Purified PCR products were used as the template for a</w:t>
      </w:r>
      <w:r>
        <w:t xml:space="preserve"> </w:t>
      </w:r>
      <w:r>
        <w:t xml:space="preserve">second round of PCR, which served to attach the Illumina barcodes and</w:t>
      </w:r>
      <w:r>
        <w:t xml:space="preserve"> </w:t>
      </w:r>
      <w:r>
        <w:t xml:space="preserve">adapters. PCR cycles started with denaturing at 95⁰C for 3 minutes followed</w:t>
      </w:r>
      <w:r>
        <w:t xml:space="preserve"> </w:t>
      </w:r>
      <w:r>
        <w:t xml:space="preserve">by additional 25 cycles starting at 95⁰C for 30 seconds, 55⁰C for 30 seconds,</w:t>
      </w:r>
      <w:r>
        <w:t xml:space="preserve"> </w:t>
      </w:r>
      <w:r>
        <w:t xml:space="preserve">and 72⁰C for 30 seconds. The cycle stayed at 72⁰C for 5 minutes and went down</w:t>
      </w:r>
      <w:r>
        <w:t xml:space="preserve"> </w:t>
      </w:r>
      <w:r>
        <w:t xml:space="preserve">to 4⁰C for hold. Following this amplification, PCR products were purified and</w:t>
      </w:r>
      <w:r>
        <w:t xml:space="preserve"> </w:t>
      </w:r>
      <w:r>
        <w:t xml:space="preserve">normalized with a SequelPrep normalization plate,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pink pigment and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while sample 3 completely turned to brown (Figure 1B).</w:t>
      </w:r>
      <w:r>
        <w:t xml:space="preserve"> </w:t>
      </w:r>
      <w:r>
        <w:t xml:space="preserve">Meanwhile, treatment group B exhibited more evident indication of spoilage</w:t>
      </w:r>
      <w:r>
        <w:t xml:space="preserve"> </w:t>
      </w:r>
      <w:r>
        <w:t xml:space="preserve">by turning into dark purple and brown pigments with pungent odor.</w:t>
      </w:r>
    </w:p>
    <w:p>
      <w:pPr>
        <w:pStyle w:val="BodyText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80 hours after the beginning of the</w:t>
      </w:r>
      <w:r>
        <w:t xml:space="preserve"> </w:t>
      </w:r>
      <w:r>
        <w:t xml:space="preserve">experiment. A represents the treatment group remained refrigerated and</w:t>
      </w:r>
      <w:r>
        <w:t xml:space="preserve"> </w:t>
      </w:r>
      <w:r>
        <w:t xml:space="preserve">B represents the treatment group stored at room temperature.</w:t>
      </w:r>
    </w:p>
    <w:p>
      <w:pPr>
        <w:pStyle w:val="Heading2"/>
      </w:pPr>
      <w:bookmarkStart w:id="38" w:name="a.-cultured-samples"/>
      <w:r>
        <w:t xml:space="preserve">A. Cultured samples</w:t>
      </w:r>
      <w:bookmarkEnd w:id="38"/>
    </w:p>
    <w:p>
      <w:pPr>
        <w:pStyle w:val="Heading3"/>
      </w:pPr>
      <w:bookmarkStart w:id="39" w:name="qubit-dna-concentration-and-gel-image"/>
      <w:r>
        <w:t xml:space="preserve">Qubit DNA concentration and Gel Image</w:t>
      </w:r>
      <w:bookmarkEnd w:id="39"/>
    </w:p>
    <w:p>
      <w:pPr>
        <w:pStyle w:val="FirstParagraph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were cultured from the sample collected from</w:t>
      </w:r>
      <w:r>
        <w:t xml:space="preserve"> </w:t>
      </w:r>
      <w:r>
        <w:t xml:space="preserve">Teva kosher foods, Lucky California for the middle plates, and</w:t>
      </w:r>
      <w:r>
        <w:t xml:space="preserve"> </w:t>
      </w:r>
      <w:r>
        <w:t xml:space="preserve">Butcher shop samples on the bottom.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Heading3"/>
      </w:pPr>
      <w:bookmarkStart w:id="43" w:name="comparison-of-colony-abundances-and-morphotypes"/>
      <w:r>
        <w:t xml:space="preserve">Comparison of colony abundances and morphotypes</w:t>
      </w:r>
      <w:bookmarkEnd w:id="43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Heading3"/>
      </w:pPr>
      <w:bookmarkStart w:id="46" w:name="sanger-sequencing-and-phylogenetic-trees"/>
      <w:r>
        <w:t xml:space="preserve">Sanger Sequencing and Phylogenetic Trees</w:t>
      </w:r>
      <w:bookmarkEnd w:id="46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completely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p>
      <w:pPr>
        <w:pStyle w:val="Heading3"/>
      </w:pPr>
      <w:bookmarkStart w:id="49" w:name="identification-of-samples-using-blast"/>
      <w:r>
        <w:t xml:space="preserve">Identification of Samples using BLAST</w:t>
      </w:r>
      <w:bookmarkEnd w:id="49"/>
    </w:p>
    <w:p>
      <w:pPr>
        <w:pStyle w:val="FirstParagraph"/>
      </w:pPr>
      <w:r>
        <w:t xml:space="preserve">I provided 3 successful data (Sample #1, 2, and 4) and 1 seemingly failed</w:t>
      </w:r>
      <w:r>
        <w:t xml:space="preserve"> </w:t>
      </w:r>
      <w:r>
        <w:t xml:space="preserve">data (Sample #3) into BLAST to identify each sample and observed 4 different</w:t>
      </w:r>
      <w:r>
        <w:t xml:space="preserve"> </w:t>
      </w:r>
      <w:r>
        <w:t xml:space="preserve">identifications with strong evidence to support the data (Figure 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conducted by BLAST.</w:t>
      </w:r>
    </w:p>
    <w:p>
      <w:pPr>
        <w:pStyle w:val="Heading2"/>
      </w:pPr>
      <w:bookmarkStart w:id="50" w:name="b.-culture-free-samples"/>
      <w:r>
        <w:t xml:space="preserve">B. Culture-free samples</w:t>
      </w:r>
      <w:bookmarkEnd w:id="50"/>
    </w:p>
    <w:p>
      <w:pPr>
        <w:pStyle w:val="Heading3"/>
      </w:pPr>
      <w:bookmarkStart w:id="51" w:name="qubit-dna-concentration-and-gel-image-1"/>
      <w:r>
        <w:t xml:space="preserve">Qubit DNA concentration and Gel Image</w:t>
      </w:r>
      <w:bookmarkEnd w:id="51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lanes. The gel image showed that there was no DNA</w:t>
      </w:r>
      <w:r>
        <w:t xml:space="preserve"> </w:t>
      </w:r>
      <w:r>
        <w:t xml:space="preserve">separated except for the sample #3B in lane 6 (Figure 6C).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Heading3"/>
      </w:pPr>
      <w:bookmarkStart w:id="53" w:name="trimming-sequences-with-trimmomatic-and-sequence-quality"/>
      <w:r>
        <w:t xml:space="preserve">Trimming sequences with Trimmomatic and sequence quality</w:t>
      </w:r>
      <w:bookmarkEnd w:id="53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p>
      <w:pPr>
        <w:pStyle w:val="Heading3"/>
      </w:pPr>
      <w:bookmarkStart w:id="55" w:name="command-line-blast-analysis"/>
      <w:r>
        <w:t xml:space="preserve">Command-line BLAST analysis</w:t>
      </w:r>
      <w:bookmarkEnd w:id="5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</w:t>
      </w:r>
    </w:p>
    <w:p>
      <w:pPr>
        <w:pStyle w:val="BodyText"/>
      </w:pPr>
      <w:r>
        <w:t xml:space="preserve">In addition, I ran BLAST on bash to find the major taxa of each sample</w:t>
      </w:r>
      <w:r>
        <w:t xml:space="preserve"> </w:t>
      </w:r>
      <w:r>
        <w:t xml:space="preserve">based on the number of sequences. Interestingly, I found bacteria as the</w:t>
      </w:r>
      <w:r>
        <w:t xml:space="preserve"> </w:t>
      </w:r>
      <w:r>
        <w:t xml:space="preserve">major taxa for all samples except for 1A which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 domestic yak (Figure 8B).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Heading1"/>
      </w:pPr>
      <w:bookmarkStart w:id="56" w:name="discussion"/>
      <w:r>
        <w:t xml:space="preserve">Discussion</w:t>
      </w:r>
      <w:bookmarkEnd w:id="56"/>
    </w:p>
    <w:p>
      <w:pPr>
        <w:pStyle w:val="Heading2"/>
      </w:pPr>
      <w:bookmarkStart w:id="57" w:name="analysis-of-cultured-samples"/>
      <w:r>
        <w:t xml:space="preserve">Analysis of cultured-samples</w:t>
      </w:r>
      <w:bookmarkEnd w:id="57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of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The highly concentrated stock sample could be the</w:t>
      </w:r>
      <w:r>
        <w:t xml:space="preserve"> </w:t>
      </w:r>
      <w:r>
        <w:t xml:space="preserve">possible cause of the thick bacterial lawn even though it was diluted down</w:t>
      </w:r>
      <w:r>
        <w:t xml:space="preserve"> </w:t>
      </w:r>
      <w:r>
        <w:t xml:space="preserve">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A different approach to enhance the results could be by using streaking</w:t>
      </w:r>
      <w:r>
        <w:t xml:space="preserve"> </w:t>
      </w:r>
      <w:r>
        <w:t xml:space="preserve">method and/or shortening the time when swabbing the sample on the surface.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2"/>
      </w:pPr>
      <w:bookmarkStart w:id="58" w:name="analysis-of-culture-free-samples"/>
      <w:r>
        <w:t xml:space="preserve">Analysis of culture-free samples</w:t>
      </w:r>
      <w:bookmarkEnd w:id="58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sequences and Illumina sequences.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temperature conditions play a critical role in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taxa from the room</w:t>
      </w:r>
      <w:r>
        <w:t xml:space="preserve"> </w:t>
      </w:r>
      <w:r>
        <w:t xml:space="preserve">temperature storage condition (Figure 8A). Possible justification for</w:t>
      </w:r>
      <w:r>
        <w:t xml:space="preserve"> </w:t>
      </w:r>
      <w:r>
        <w:t xml:space="preserve">this unexpected results could have driven from the shorter length of the</w:t>
      </w:r>
      <w:r>
        <w:t xml:space="preserve"> </w:t>
      </w:r>
      <w:r>
        <w:t xml:space="preserve">sequences as sample 1B have only 3,638 sequences after trimming</w:t>
      </w:r>
      <w:r>
        <w:t xml:space="preserve"> </w:t>
      </w:r>
      <w:r>
        <w:t xml:space="preserve">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1"/>
      </w:pPr>
      <w:bookmarkStart w:id="59" w:name="sources-cited"/>
      <w:r>
        <w:t xml:space="preserve">Sources Cited</w:t>
      </w:r>
      <w:bookmarkEnd w:id="59"/>
    </w:p>
    <w:bookmarkStart w:id="68" w:name="refs"/>
    <w:bookmarkStart w:id="60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0"/>
    <w:bookmarkStart w:id="61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61"/>
    <w:bookmarkStart w:id="62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62"/>
    <w:bookmarkStart w:id="63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63"/>
    <w:bookmarkStart w:id="64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64"/>
    <w:bookmarkStart w:id="65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65"/>
    <w:bookmarkStart w:id="66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66"/>
    <w:bookmarkStart w:id="67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67"/>
    <w:bookmarkEnd w:id="6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1" Target="media/rId41.png" /><Relationship Type="http://schemas.openxmlformats.org/officeDocument/2006/relationships/image" Id="rId52" Target="media/rId52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0" Target="media/rId40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54" Target="media/rId5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2019-11-24T09:36:01Z</dcterms:created>
  <dcterms:modified xsi:type="dcterms:W3CDTF">2019-11-24T09:36:01Z</dcterms:modified>
</cp:coreProperties>
</file>